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ZOW.A.27.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7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LibreOffice/7.1.2.2$Windows_X86_64 LibreOffice_project/8a45595d069ef5570103caea1b71cc9d82b2aae4</Application>
  <AppVersion>15.0000</AppVersion>
  <Pages>1</Pages>
  <Words>259</Words>
  <Characters>1884</Characters>
  <CharactersWithSpaces>2145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2022-12-14T07:15:01Z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