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tj. Zespół Ośrodków Wsparcia w Bielawie, ul. Lotnicza 5 , 58-260 Bielawa,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widowControl w:val="false"/>
        <w:spacing w:lineRule="auto" w:line="360" w:before="106" w:after="0"/>
        <w:jc w:val="center"/>
        <w:rPr>
          <w:rFonts w:cs="Arial"/>
          <w:b/>
          <w:b/>
          <w:color w:val="000000"/>
          <w:szCs w:val="18"/>
        </w:rPr>
      </w:pP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1.1 CENA -  [C] 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Cena ofertowa za realizację przedmiotu zamówienia </w:t>
      </w:r>
      <w:r>
        <w:rPr>
          <w:rFonts w:cs="Arial" w:ascii="Verdana" w:hAnsi="Verdana"/>
          <w:b/>
          <w:sz w:val="18"/>
          <w:szCs w:val="18"/>
          <w:shd w:fill="auto" w:val="clear"/>
        </w:rPr>
        <w:t>(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 xml:space="preserve">13149 </w:t>
      </w:r>
      <w:r>
        <w:rPr>
          <w:rFonts w:cs="Arial" w:ascii="Verdana" w:hAnsi="Verdana"/>
          <w:b/>
          <w:sz w:val="18"/>
          <w:szCs w:val="18"/>
          <w:shd w:fill="auto" w:val="clear"/>
        </w:rPr>
        <w:t xml:space="preserve">szt. posiłków </w:t>
      </w:r>
      <w:r>
        <w:rPr>
          <w:rFonts w:cs="Arial" w:ascii="Verdana" w:hAnsi="Verdana"/>
          <w:b/>
          <w:sz w:val="18"/>
          <w:szCs w:val="18"/>
        </w:rPr>
        <w:t>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1.3 Termin wykonania: 364 dni od dnia od 02.01.2023 r. do 31.12.2023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11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header="624" w:top="104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lef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5</w:t>
    </w:r>
    <w:r>
      <w:rPr>
        <w:rFonts w:ascii="Verdana" w:hAnsi="Verdana"/>
        <w:i/>
        <w:sz w:val="16"/>
        <w:szCs w:val="16"/>
      </w:rPr>
      <w:t xml:space="preserve">.2022                                                                                                                             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LibreOffice/7.1.2.2$Windows_X86_64 LibreOffice_project/8a45595d069ef5570103caea1b71cc9d82b2aae4</Application>
  <AppVersion>15.0000</AppVersion>
  <Pages>2</Pages>
  <Words>674</Words>
  <Characters>4724</Characters>
  <CharactersWithSpaces>5459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2022-11-17T11:07:36Z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